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-85723</wp:posOffset>
            </wp:positionH>
            <wp:positionV relativeFrom="paragraph">
              <wp:posOffset>5800725</wp:posOffset>
            </wp:positionV>
            <wp:extent cx="6210300" cy="168592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85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Spectral" w:cs="Spectral" w:eastAsia="Spectral" w:hAnsi="Spectral"/>
          <w:color w:val="7e8076"/>
          <w:sz w:val="140"/>
          <w:szCs w:val="140"/>
        </w:rPr>
      </w:pPr>
      <w:r w:rsidDel="00000000" w:rsidR="00000000" w:rsidRPr="00000000">
        <w:rPr>
          <w:rFonts w:ascii="Georgia" w:cs="Georgia" w:eastAsia="Georgia" w:hAnsi="Georgia"/>
          <w:b w:val="1"/>
          <w:color w:val="d31876"/>
          <w:sz w:val="140"/>
          <w:szCs w:val="140"/>
          <w:rtl w:val="0"/>
        </w:rPr>
        <w:t xml:space="preserve">Health</w:t>
      </w:r>
      <w:r w:rsidDel="00000000" w:rsidR="00000000" w:rsidRPr="00000000">
        <w:rPr>
          <w:rFonts w:ascii="Spectral" w:cs="Spectral" w:eastAsia="Spectral" w:hAnsi="Spectral"/>
          <w:color w:val="7e8076"/>
          <w:sz w:val="140"/>
          <w:szCs w:val="14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Georgia" w:cs="Georgia" w:eastAsia="Georgia" w:hAnsi="Georgia"/>
          <w:b w:val="1"/>
          <w:color w:val="78c336"/>
          <w:sz w:val="140"/>
          <w:szCs w:val="140"/>
        </w:rPr>
      </w:pPr>
      <w:r w:rsidDel="00000000" w:rsidR="00000000" w:rsidRPr="00000000">
        <w:rPr>
          <w:rFonts w:ascii="Spectral" w:cs="Spectral" w:eastAsia="Spectral" w:hAnsi="Spectral"/>
          <w:color w:val="7e8076"/>
          <w:sz w:val="120"/>
          <w:szCs w:val="120"/>
          <w:rtl w:val="0"/>
        </w:rPr>
        <w:t xml:space="preserve">&amp;</w:t>
      </w:r>
      <w:r w:rsidDel="00000000" w:rsidR="00000000" w:rsidRPr="00000000">
        <w:rPr>
          <w:rFonts w:ascii="Spectral" w:cs="Spectral" w:eastAsia="Spectral" w:hAnsi="Spectral"/>
          <w:color w:val="7e8076"/>
          <w:sz w:val="140"/>
          <w:szCs w:val="14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78c336"/>
          <w:sz w:val="140"/>
          <w:szCs w:val="140"/>
          <w:rtl w:val="0"/>
        </w:rPr>
        <w:t xml:space="preserve">Social Care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center"/>
        <w:rPr>
          <w:rFonts w:ascii="Georgia" w:cs="Georgia" w:eastAsia="Georgia" w:hAnsi="Georgia"/>
          <w:b w:val="1"/>
          <w:color w:val="7e8076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b w:val="1"/>
          <w:color w:val="7e8076"/>
          <w:sz w:val="120"/>
          <w:szCs w:val="120"/>
          <w:rtl w:val="0"/>
        </w:rPr>
        <w:t xml:space="preserve">Level 2</w:t>
      </w:r>
      <w:r w:rsidDel="00000000" w:rsidR="00000000" w:rsidRPr="00000000">
        <w:rPr>
          <w:rFonts w:ascii="Georgia" w:cs="Georgia" w:eastAsia="Georgia" w:hAnsi="Georgia"/>
          <w:b w:val="1"/>
          <w:color w:val="7e8076"/>
          <w:sz w:val="144"/>
          <w:szCs w:val="14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center"/>
        <w:rPr>
          <w:rFonts w:ascii="Georgia" w:cs="Georgia" w:eastAsia="Georgia" w:hAnsi="Georgia"/>
          <w:b w:val="1"/>
          <w:color w:val="7e8076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In this booklet you will find the necessary content to prepare you for your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transition from GCSE to this course.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Below are some recommended exercises to complete before you join us in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September.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purpose of giving you a summer bridging task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i. To provide a bridge from school to college that leads into the early stages of the course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ii. To engage you in independent learning which is required at college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iii. To encourage you to develop your work ethic and commitment to study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iv. To measure your suitability for the course and assess your initial levels of achievement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of your work must be typed and clearly presented – please reference your work where possible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1: 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Define the following command verbs that you will regularly use for completing your coursework criteria and answering examination questions. Give an example to support your definition.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Analyse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Assess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Compare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Demonstrate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Describe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Evaluate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Explain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Identify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Outline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State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Useful resource: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jc w:val="left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https://www.ocr.org.uk/Images/273311-command-verbs-definitions.pdf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2: 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Produce a PowerPoint presentation/Google Slides (with notes pages) which:</w:t>
      </w:r>
    </w:p>
    <w:p w:rsidR="00000000" w:rsidDel="00000000" w:rsidP="00000000" w:rsidRDefault="00000000" w:rsidRPr="00000000" w14:paraId="0000003A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Defines what Health, Social Care and Early Years settings are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Identifies examples of a range of job roles across the different 3 settings i.e. Health, Social Care and Early Years.</w:t>
      </w:r>
    </w:p>
    <w:p w:rsidR="00000000" w:rsidDel="00000000" w:rsidP="00000000" w:rsidRDefault="00000000" w:rsidRPr="00000000" w14:paraId="0000003D">
      <w:pPr>
        <w:widowControl w:val="0"/>
        <w:spacing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Useful resources: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jc w:val="left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https://www.skillsforcare.org.uk/Careers-in-care/Job-roles/Job-roles-in-social-care.aspx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jc w:val="left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https://www.healthcareers.nhs.uk/explore-roles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76" w:lineRule="auto"/>
        <w:jc w:val="left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https://www.prospects.ac.uk/jobs-and-work-experience/job-sectors/social-care/working-withchildren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jc w:val="left"/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http://www.healthtalk.org/young-peoples-experiences/seeing-gp-advice-and-tips-youngpeople/what-secondary-care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3: Health and Social Care is built on principles of equality, person-centred care and personalisation. There are times when things go wrong. </w:t>
      </w:r>
    </w:p>
    <w:p w:rsidR="00000000" w:rsidDel="00000000" w:rsidP="00000000" w:rsidRDefault="00000000" w:rsidRPr="00000000" w14:paraId="00000047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an Essay which gives examples of bad/poor practice that has had significant changes on current practice. Examples – Victoria Climbie death and Winterbourne Care Home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to present your work:</w:t>
      </w:r>
    </w:p>
    <w:p w:rsidR="00000000" w:rsidDel="00000000" w:rsidP="00000000" w:rsidRDefault="00000000" w:rsidRPr="00000000" w14:paraId="0000004B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 processed work – Arial Font and size 12. Include your name and print off back to back.</w:t>
      </w:r>
    </w:p>
    <w:p w:rsidR="00000000" w:rsidDel="00000000" w:rsidP="00000000" w:rsidRDefault="00000000" w:rsidRPr="00000000" w14:paraId="0000004C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PowerPoint work – can be as decorative as you wish. Print off your slides as NOTES PAGES.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Documentaries:</w:t>
      </w:r>
    </w:p>
    <w:p w:rsidR="00000000" w:rsidDel="00000000" w:rsidP="00000000" w:rsidRDefault="00000000" w:rsidRPr="00000000" w14:paraId="00000050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Jesy Nelson Odd One Out, Call the Midwife, Katie Piper: My beautiful face, Crisis in Care: BBC Panorama, Health before the NHS- The road to recovery, Rio and Kate: becoming a stepfamily, Rio Ferdinand: Thinking Out Loud: Love, Grief and Being Mum and Dad, Supersize v Superskinny, Britain’s Hidden Hungry, The Big Hospital Experiment, The Secret Life of 4 and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Year Olds, Old People’s Home for 4 Year Olds and Mum, Dad, Alzheimer’s and Me.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jc w:val="center"/>
        <w:rPr>
          <w:b w:val="1"/>
          <w:color w:val="d31876"/>
          <w:sz w:val="28"/>
          <w:szCs w:val="28"/>
        </w:rPr>
      </w:pPr>
      <w:r w:rsidDel="00000000" w:rsidR="00000000" w:rsidRPr="00000000">
        <w:rPr>
          <w:b w:val="1"/>
          <w:color w:val="d31876"/>
          <w:sz w:val="28"/>
          <w:szCs w:val="28"/>
          <w:rtl w:val="0"/>
        </w:rPr>
        <w:t xml:space="preserve">BRING YOUR WORK TO YOUR FIRST LESSON</w:t>
      </w:r>
    </w:p>
    <w:sectPr>
      <w:headerReference r:id="rId12" w:type="default"/>
      <w:headerReference r:id="rId13" w:type="first"/>
      <w:footerReference r:id="rId14" w:type="firs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1</wp:posOffset>
              </wp:positionV>
              <wp:extent cx="4884600" cy="158115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21900" y="3075150"/>
                        <a:ext cx="4648200" cy="1409700"/>
                      </a:xfrm>
                      <a:prstGeom prst="rect">
                        <a:avLst/>
                      </a:prstGeom>
                      <a:solidFill>
                        <a:srgbClr val="63635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Pre-enrolment Study Pack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1</wp:posOffset>
              </wp:positionV>
              <wp:extent cx="4884600" cy="1581150"/>
              <wp:effectExtent b="0" l="0" r="0" t="0"/>
              <wp:wrapSquare wrapText="bothSides" distB="114300" distT="11430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4600" cy="158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6813" cy="1166813"/>
          <wp:effectExtent b="0" l="0" r="0" t="0"/>
          <wp:wrapSquare wrapText="bothSides" distB="0" distT="0" distL="0" distR="0"/>
          <wp:docPr descr="gcfe-logo-final-forlightbackgrounds" id="3" name="image1.png"/>
          <a:graphic>
            <a:graphicData uri="http://schemas.openxmlformats.org/drawingml/2006/picture">
              <pic:pic>
                <pic:nvPicPr>
                  <pic:cNvPr descr="gcfe-logo-final-forlightbackgrounds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6813" cy="1166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ealthtalk.org/young-peoples-experiences/seeing-gp-advice-and-tips-youngpeople/what-secondary-care" TargetMode="External"/><Relationship Id="rId10" Type="http://schemas.openxmlformats.org/officeDocument/2006/relationships/hyperlink" Target="https://www.prospects.ac.uk/jobs-and-work-experience/job-sectors/social-care/working-withchildren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althcareers.nhs.uk/explore-roles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ocr.org.uk/Images/273311-command-verbs-definitions.pdf" TargetMode="External"/><Relationship Id="rId8" Type="http://schemas.openxmlformats.org/officeDocument/2006/relationships/hyperlink" Target="https://www.skillsforcare.org.uk/Careers-in-care/Job-roles/Job-roles-in-social-care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