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5800725</wp:posOffset>
            </wp:positionV>
            <wp:extent cx="6210300" cy="168592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68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76" w:lineRule="auto"/>
        <w:jc w:val="center"/>
        <w:rPr>
          <w:rFonts w:ascii="Spectral" w:cs="Spectral" w:eastAsia="Spectral" w:hAnsi="Spectral"/>
          <w:color w:val="7e8076"/>
          <w:sz w:val="140"/>
          <w:szCs w:val="140"/>
        </w:rPr>
      </w:pPr>
      <w:r w:rsidDel="00000000" w:rsidR="00000000" w:rsidRPr="00000000">
        <w:rPr>
          <w:rFonts w:ascii="Georgia" w:cs="Georgia" w:eastAsia="Georgia" w:hAnsi="Georgia"/>
          <w:b w:val="1"/>
          <w:color w:val="d31876"/>
          <w:sz w:val="140"/>
          <w:szCs w:val="140"/>
          <w:rtl w:val="0"/>
        </w:rPr>
        <w:t xml:space="preserve">Health</w:t>
      </w:r>
      <w:r w:rsidDel="00000000" w:rsidR="00000000" w:rsidRPr="00000000">
        <w:rPr>
          <w:rFonts w:ascii="Spectral" w:cs="Spectral" w:eastAsia="Spectral" w:hAnsi="Spectral"/>
          <w:color w:val="7e8076"/>
          <w:sz w:val="140"/>
          <w:szCs w:val="14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76" w:lineRule="auto"/>
        <w:jc w:val="center"/>
        <w:rPr>
          <w:rFonts w:ascii="Georgia" w:cs="Georgia" w:eastAsia="Georgia" w:hAnsi="Georgia"/>
          <w:b w:val="1"/>
          <w:color w:val="78c336"/>
          <w:sz w:val="140"/>
          <w:szCs w:val="140"/>
        </w:rPr>
      </w:pPr>
      <w:r w:rsidDel="00000000" w:rsidR="00000000" w:rsidRPr="00000000">
        <w:rPr>
          <w:rFonts w:ascii="Spectral" w:cs="Spectral" w:eastAsia="Spectral" w:hAnsi="Spectral"/>
          <w:color w:val="7e8076"/>
          <w:sz w:val="120"/>
          <w:szCs w:val="120"/>
          <w:rtl w:val="0"/>
        </w:rPr>
        <w:t xml:space="preserve">&amp;</w:t>
      </w:r>
      <w:r w:rsidDel="00000000" w:rsidR="00000000" w:rsidRPr="00000000">
        <w:rPr>
          <w:rFonts w:ascii="Spectral" w:cs="Spectral" w:eastAsia="Spectral" w:hAnsi="Spectral"/>
          <w:color w:val="7e8076"/>
          <w:sz w:val="140"/>
          <w:szCs w:val="14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78c336"/>
          <w:sz w:val="140"/>
          <w:szCs w:val="140"/>
          <w:rtl w:val="0"/>
        </w:rPr>
        <w:t xml:space="preserve">Social Care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76" w:lineRule="auto"/>
        <w:jc w:val="center"/>
        <w:rPr>
          <w:rFonts w:ascii="Georgia" w:cs="Georgia" w:eastAsia="Georgia" w:hAnsi="Georgia"/>
          <w:b w:val="1"/>
          <w:color w:val="7e8076"/>
          <w:sz w:val="144"/>
          <w:szCs w:val="144"/>
        </w:rPr>
      </w:pPr>
      <w:r w:rsidDel="00000000" w:rsidR="00000000" w:rsidRPr="00000000">
        <w:rPr>
          <w:rFonts w:ascii="Georgia" w:cs="Georgia" w:eastAsia="Georgia" w:hAnsi="Georgia"/>
          <w:b w:val="1"/>
          <w:color w:val="7e8076"/>
          <w:sz w:val="120"/>
          <w:szCs w:val="120"/>
          <w:rtl w:val="0"/>
        </w:rPr>
        <w:t xml:space="preserve">Level 2</w:t>
      </w:r>
      <w:r w:rsidDel="00000000" w:rsidR="00000000" w:rsidRPr="00000000">
        <w:rPr>
          <w:rFonts w:ascii="Georgia" w:cs="Georgia" w:eastAsia="Georgia" w:hAnsi="Georgia"/>
          <w:b w:val="1"/>
          <w:color w:val="7e8076"/>
          <w:sz w:val="144"/>
          <w:szCs w:val="14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76" w:lineRule="auto"/>
        <w:jc w:val="center"/>
        <w:rPr>
          <w:rFonts w:ascii="Georgia" w:cs="Georgia" w:eastAsia="Georgia" w:hAnsi="Georgia"/>
          <w:b w:val="1"/>
          <w:color w:val="7e8076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76" w:lineRule="auto"/>
        <w:jc w:val="left"/>
        <w:rPr>
          <w:rFonts w:ascii="Georgia" w:cs="Georgia" w:eastAsia="Georgia" w:hAnsi="Georgia"/>
          <w:b w:val="1"/>
          <w:color w:val="7e807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76" w:lineRule="auto"/>
        <w:jc w:val="left"/>
        <w:rPr>
          <w:rFonts w:ascii="Georgia" w:cs="Georgia" w:eastAsia="Georgia" w:hAnsi="Georgia"/>
          <w:b w:val="1"/>
          <w:color w:val="7e807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76" w:lineRule="auto"/>
        <w:jc w:val="left"/>
        <w:rPr>
          <w:rFonts w:ascii="Georgia" w:cs="Georgia" w:eastAsia="Georgia" w:hAnsi="Georgia"/>
          <w:b w:val="1"/>
          <w:color w:val="7e807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76" w:lineRule="auto"/>
        <w:jc w:val="left"/>
        <w:rPr>
          <w:rFonts w:ascii="Georgia" w:cs="Georgia" w:eastAsia="Georgia" w:hAnsi="Georgia"/>
          <w:b w:val="1"/>
          <w:color w:val="7e8076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color w:val="7e8076"/>
                <w:sz w:val="36"/>
                <w:szCs w:val="3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7e8076"/>
                <w:sz w:val="36"/>
                <w:szCs w:val="36"/>
                <w:rtl w:val="0"/>
              </w:rPr>
              <w:t xml:space="preserve">In this booklet you will find the necessary content to prepare you for your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color w:val="7e8076"/>
                <w:sz w:val="36"/>
                <w:szCs w:val="3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7e8076"/>
                <w:sz w:val="36"/>
                <w:szCs w:val="36"/>
                <w:rtl w:val="0"/>
              </w:rPr>
              <w:t xml:space="preserve">transition from GCSE to this course.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color w:val="7e807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color w:val="7e8076"/>
                <w:sz w:val="36"/>
                <w:szCs w:val="3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7e8076"/>
                <w:sz w:val="36"/>
                <w:szCs w:val="36"/>
                <w:rtl w:val="0"/>
              </w:rPr>
              <w:t xml:space="preserve">Below are some recommended exercises to complete before you join us in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color w:val="7e8076"/>
                <w:sz w:val="36"/>
                <w:szCs w:val="3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7e8076"/>
                <w:sz w:val="36"/>
                <w:szCs w:val="36"/>
                <w:rtl w:val="0"/>
              </w:rPr>
              <w:t xml:space="preserve">September.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widowControl w:val="0"/>
        <w:spacing w:line="276" w:lineRule="auto"/>
        <w:jc w:val="left"/>
        <w:rPr>
          <w:rFonts w:ascii="Georgia" w:cs="Georgia" w:eastAsia="Georgia" w:hAnsi="Georgia"/>
          <w:b w:val="1"/>
          <w:color w:val="7e807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purpose of giving you a summer bridging task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76" w:lineRule="auto"/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i. To provide a bridge from school to college that leads into the early stages of the course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76" w:lineRule="auto"/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ii. To engage you in independent learning which is required at college</w:t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76" w:lineRule="auto"/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iii. To encourage you to develop your work ethic and commitment to study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76" w:lineRule="auto"/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iv. To measure your suitability for the course and assess your initial levels of achievement</w:t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 of your work must be typed and clearly presented – please reference your work where possible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Task 1: </w:t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Define the following command verbs that you will regularly use for completing your coursework criteria and answering examination questions. Give an example to support your definition.</w:t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Analyse</w:t>
      </w:r>
    </w:p>
    <w:p w:rsidR="00000000" w:rsidDel="00000000" w:rsidP="00000000" w:rsidRDefault="00000000" w:rsidRPr="00000000" w14:paraId="0000002A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Assess</w:t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Compare</w:t>
      </w:r>
    </w:p>
    <w:p w:rsidR="00000000" w:rsidDel="00000000" w:rsidP="00000000" w:rsidRDefault="00000000" w:rsidRPr="00000000" w14:paraId="0000002C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Demonstrate</w:t>
      </w:r>
    </w:p>
    <w:p w:rsidR="00000000" w:rsidDel="00000000" w:rsidP="00000000" w:rsidRDefault="00000000" w:rsidRPr="00000000" w14:paraId="0000002D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Describe</w:t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Evaluate</w:t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Explain</w:t>
      </w:r>
    </w:p>
    <w:p w:rsidR="00000000" w:rsidDel="00000000" w:rsidP="00000000" w:rsidRDefault="00000000" w:rsidRPr="00000000" w14:paraId="00000030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Identify</w:t>
      </w:r>
    </w:p>
    <w:p w:rsidR="00000000" w:rsidDel="00000000" w:rsidP="00000000" w:rsidRDefault="00000000" w:rsidRPr="00000000" w14:paraId="00000031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Outline</w:t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State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Useful resource:</w:t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https://www.ocr.org.uk/Images/273311-command-verbs-definitions.pdf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Task 2: 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Produce a PowerPoint presentation/Google Slides (with notes pages) which:</w:t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numPr>
          <w:ilvl w:val="0"/>
          <w:numId w:val="2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Defines what Health, Social Care and Early Years settings are</w:t>
      </w:r>
    </w:p>
    <w:p w:rsidR="00000000" w:rsidDel="00000000" w:rsidP="00000000" w:rsidRDefault="00000000" w:rsidRPr="00000000" w14:paraId="0000003C">
      <w:pPr>
        <w:pageBreakBefore w:val="0"/>
        <w:widowControl w:val="0"/>
        <w:numPr>
          <w:ilvl w:val="0"/>
          <w:numId w:val="2"/>
        </w:numPr>
        <w:spacing w:line="276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Identifies examples of a range of job roles across the different 3 settings i.e. Health, Social Care and Early Years.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76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Useful resources:</w:t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https://www.skillsforcare.org.uk/Careers-in-care/Job-roles/Job-roles-in-social-care.aspx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https://www.healthcareers.nhs.uk/explore-roles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https://www.prospects.ac.uk/jobs-and-work-experience/job-sectors/social-care/working-withchildren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http://www.healthtalk.org/young-peoples-experiences/seeing-gp-advice-and-tips-youngpeople/what-secondary-care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Task 3: Health and Social Care is built on principles of equality, person-centred care and personalisation. There are times when things go wrong. </w:t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Write an Essay which gives examples of bad/poor practice that has had significant changes on current practice. Examples – Victoria Climbie death and Winterbourne Care Home</w:t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to present your work:</w:t>
      </w:r>
    </w:p>
    <w:p w:rsidR="00000000" w:rsidDel="00000000" w:rsidP="00000000" w:rsidRDefault="00000000" w:rsidRPr="00000000" w14:paraId="0000004B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Word processed work – Arial Font and size 12. Include your name and print off back to back.</w:t>
      </w:r>
    </w:p>
    <w:p w:rsidR="00000000" w:rsidDel="00000000" w:rsidP="00000000" w:rsidRDefault="00000000" w:rsidRPr="00000000" w14:paraId="0000004C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PowerPoint work – can be as decorative as you wish. Print off your slides as NOTES PAGES.</w:t>
      </w:r>
    </w:p>
    <w:p w:rsidR="00000000" w:rsidDel="00000000" w:rsidP="00000000" w:rsidRDefault="00000000" w:rsidRPr="00000000" w14:paraId="0000004E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0"/>
        <w:spacing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Documentaries:</w:t>
      </w:r>
    </w:p>
    <w:p w:rsidR="00000000" w:rsidDel="00000000" w:rsidP="00000000" w:rsidRDefault="00000000" w:rsidRPr="00000000" w14:paraId="00000050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Jesy Nelson Odd One Out, Call the Midwife, Katie Piper: My beautiful face, Crisis in Care: BBC Panorama, Health before the NHS- The road to recovery, Rio and Kate: becoming a stepfamily, Rio Ferdinand: Thinking Out Loud: Love, Grief and Being Mum and Dad, Supersize v Superskinny, Britain’s Hidden Hungry, The Big Hospital Experiment, The Secret Life of 4 and</w:t>
      </w:r>
    </w:p>
    <w:p w:rsidR="00000000" w:rsidDel="00000000" w:rsidP="00000000" w:rsidRDefault="00000000" w:rsidRPr="00000000" w14:paraId="00000051">
      <w:pPr>
        <w:pageBreakBefore w:val="0"/>
        <w:widowControl w:val="0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Year Olds, Old People’s Home for 4 Year Olds and Mum, Dad, Alzheimer’s and Me.</w:t>
      </w:r>
    </w:p>
    <w:p w:rsidR="00000000" w:rsidDel="00000000" w:rsidP="00000000" w:rsidRDefault="00000000" w:rsidRPr="00000000" w14:paraId="00000052">
      <w:pPr>
        <w:pageBreakBefore w:val="0"/>
        <w:widowControl w:val="0"/>
        <w:spacing w:line="276" w:lineRule="auto"/>
        <w:jc w:val="center"/>
        <w:rPr>
          <w:b w:val="1"/>
          <w:color w:val="d31876"/>
          <w:sz w:val="28"/>
          <w:szCs w:val="28"/>
        </w:rPr>
      </w:pPr>
      <w:r w:rsidDel="00000000" w:rsidR="00000000" w:rsidRPr="00000000">
        <w:rPr>
          <w:b w:val="1"/>
          <w:color w:val="d31876"/>
          <w:sz w:val="28"/>
          <w:szCs w:val="28"/>
          <w:rtl w:val="0"/>
        </w:rPr>
        <w:t xml:space="preserve">PLEASE BRING YOUR WORK TO YOUR FIRST LESSON</w:t>
      </w:r>
    </w:p>
    <w:p w:rsidR="00000000" w:rsidDel="00000000" w:rsidP="00000000" w:rsidRDefault="00000000" w:rsidRPr="00000000" w14:paraId="00000053">
      <w:pPr>
        <w:pageBreakBefore w:val="0"/>
        <w:rPr>
          <w:rFonts w:ascii="Comfortaa" w:cs="Comfortaa" w:eastAsia="Comfortaa" w:hAnsi="Comfortaa"/>
          <w:color w:val="66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omfortaa" w:cs="Comfortaa" w:eastAsia="Comfortaa" w:hAnsi="Comfortaa"/>
          <w:color w:val="666666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color w:val="666666"/>
          <w:sz w:val="36"/>
          <w:szCs w:val="36"/>
          <w:rtl w:val="0"/>
        </w:rPr>
        <w:t xml:space="preserve">Contact Us:</w:t>
      </w:r>
    </w:p>
    <w:p w:rsidR="00000000" w:rsidDel="00000000" w:rsidP="00000000" w:rsidRDefault="00000000" w:rsidRPr="00000000" w14:paraId="00000055">
      <w:pPr>
        <w:pageBreakBefore w:val="0"/>
        <w:rPr>
          <w:rFonts w:ascii="Comfortaa" w:cs="Comfortaa" w:eastAsia="Comfortaa" w:hAnsi="Comfortaa"/>
          <w:color w:val="66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omfortaa" w:cs="Comfortaa" w:eastAsia="Comfortaa" w:hAnsi="Comfortaa"/>
          <w:color w:val="666666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color w:val="666666"/>
          <w:sz w:val="28"/>
          <w:szCs w:val="28"/>
          <w:rtl w:val="0"/>
        </w:rPr>
        <w:t xml:space="preserve">Email: </w:t>
      </w:r>
      <w:hyperlink r:id="rId12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college@gcfe.net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omfortaa" w:cs="Comfortaa" w:eastAsia="Comfortaa" w:hAnsi="Comfortaa"/>
          <w:color w:val="666666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color w:val="666666"/>
          <w:sz w:val="28"/>
          <w:szCs w:val="28"/>
          <w:rtl w:val="0"/>
        </w:rPr>
        <w:t xml:space="preserve">Facebook: </w:t>
      </w:r>
      <w:hyperlink r:id="rId13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https://www.facebook.com/GuernseyCollege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omfortaa" w:cs="Comfortaa" w:eastAsia="Comfortaa" w:hAnsi="Comfortaa"/>
          <w:color w:val="666666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color w:val="666666"/>
          <w:sz w:val="28"/>
          <w:szCs w:val="28"/>
          <w:rtl w:val="0"/>
        </w:rPr>
        <w:t xml:space="preserve">Twitter: GuernseyCollege@GuernseyCollege</w:t>
      </w:r>
    </w:p>
    <w:p w:rsidR="00000000" w:rsidDel="00000000" w:rsidP="00000000" w:rsidRDefault="00000000" w:rsidRPr="00000000" w14:paraId="00000059">
      <w:pPr>
        <w:pageBreakBefore w:val="0"/>
        <w:rPr>
          <w:b w:val="1"/>
          <w:color w:val="d31876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color w:val="666666"/>
          <w:sz w:val="28"/>
          <w:szCs w:val="28"/>
          <w:rtl w:val="0"/>
        </w:rPr>
        <w:t xml:space="preserve">Website: </w:t>
      </w:r>
      <w:hyperlink r:id="rId14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http://www.guernseycollege.ac.gg/</w:t>
        </w:r>
      </w:hyperlink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1247775</wp:posOffset>
              </wp:positionH>
              <wp:positionV relativeFrom="paragraph">
                <wp:posOffset>1</wp:posOffset>
              </wp:positionV>
              <wp:extent cx="4875075" cy="1571625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704850" y="981075"/>
                        <a:ext cx="4648200" cy="1409700"/>
                      </a:xfrm>
                      <a:prstGeom prst="rect">
                        <a:avLst/>
                      </a:prstGeom>
                      <a:solidFill>
                        <a:srgbClr val="63635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Pre-enrolment Study Pack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1247775</wp:posOffset>
              </wp:positionH>
              <wp:positionV relativeFrom="paragraph">
                <wp:posOffset>1</wp:posOffset>
              </wp:positionV>
              <wp:extent cx="4875075" cy="1571625"/>
              <wp:effectExtent b="0" l="0" r="0" t="0"/>
              <wp:wrapSquare wrapText="bothSides" distB="114300" distT="11430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5075" cy="1571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66813" cy="1166813"/>
          <wp:effectExtent b="0" l="0" r="0" t="0"/>
          <wp:wrapSquare wrapText="bothSides" distB="0" distT="0" distL="0" distR="0"/>
          <wp:docPr descr="gcfe-logo-final-forlightbackgrounds" id="3" name="image2.png"/>
          <a:graphic>
            <a:graphicData uri="http://schemas.openxmlformats.org/drawingml/2006/picture">
              <pic:pic>
                <pic:nvPicPr>
                  <pic:cNvPr descr="gcfe-logo-final-forlightbackgrounds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813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healthtalk.org/young-peoples-experiences/seeing-gp-advice-and-tips-youngpeople/what-secondary-care" TargetMode="External"/><Relationship Id="rId10" Type="http://schemas.openxmlformats.org/officeDocument/2006/relationships/hyperlink" Target="https://www.prospects.ac.uk/jobs-and-work-experience/job-sectors/social-care/working-withchildren" TargetMode="External"/><Relationship Id="rId13" Type="http://schemas.openxmlformats.org/officeDocument/2006/relationships/hyperlink" Target="https://www.facebook.com/GuernseyCollege" TargetMode="External"/><Relationship Id="rId12" Type="http://schemas.openxmlformats.org/officeDocument/2006/relationships/hyperlink" Target="mailto:college@gcfe.ne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careers.nhs.uk/explore-roles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guernseycollege.ac.gg/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ocr.org.uk/Images/273311-command-verbs-definitions.pdf" TargetMode="External"/><Relationship Id="rId8" Type="http://schemas.openxmlformats.org/officeDocument/2006/relationships/hyperlink" Target="https://www.skillsforcare.org.uk/Careers-in-care/Job-roles/Job-roles-in-social-care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